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826" w:rsidRDefault="00274826" w:rsidP="00833B25">
      <w:pPr>
        <w:jc w:val="center"/>
      </w:pPr>
    </w:p>
    <w:p w:rsidR="00274826" w:rsidRDefault="00274826" w:rsidP="00833B25">
      <w:pPr>
        <w:jc w:val="center"/>
      </w:pPr>
    </w:p>
    <w:p w:rsidR="00274826" w:rsidRDefault="00274826" w:rsidP="00833B25">
      <w:pPr>
        <w:jc w:val="center"/>
      </w:pPr>
    </w:p>
    <w:p w:rsidR="00274826" w:rsidRDefault="00274826" w:rsidP="00833B25">
      <w:pPr>
        <w:jc w:val="center"/>
      </w:pPr>
    </w:p>
    <w:p w:rsidR="00A81A84" w:rsidRPr="00274826" w:rsidRDefault="00274826" w:rsidP="00274826">
      <w:pPr>
        <w:jc w:val="center"/>
        <w:rPr>
          <w:b/>
        </w:rPr>
      </w:pPr>
      <w:r w:rsidRPr="00274826">
        <w:rPr>
          <w:b/>
        </w:rPr>
        <w:t xml:space="preserve">Discussion on </w:t>
      </w:r>
      <w:r w:rsidR="0080213C" w:rsidRPr="00274826">
        <w:rPr>
          <w:b/>
        </w:rPr>
        <w:t>Tax Exemption</w:t>
      </w:r>
    </w:p>
    <w:p w:rsidR="009D6455" w:rsidRDefault="009D6455" w:rsidP="00274826">
      <w:pPr>
        <w:jc w:val="center"/>
      </w:pPr>
    </w:p>
    <w:p w:rsidR="009D6455" w:rsidRDefault="009D6455" w:rsidP="00274826">
      <w:pPr>
        <w:jc w:val="center"/>
      </w:pPr>
    </w:p>
    <w:p w:rsidR="00274826" w:rsidRDefault="00274826" w:rsidP="00274826">
      <w:pPr>
        <w:jc w:val="center"/>
      </w:pPr>
    </w:p>
    <w:p w:rsidR="009D6455" w:rsidRDefault="009D6455" w:rsidP="00274826">
      <w:pPr>
        <w:jc w:val="center"/>
      </w:pPr>
    </w:p>
    <w:p w:rsidR="00833B25" w:rsidRDefault="0080213C" w:rsidP="00274826">
      <w:pPr>
        <w:jc w:val="center"/>
      </w:pPr>
      <w:r>
        <w:t>Name</w:t>
      </w:r>
    </w:p>
    <w:p w:rsidR="00833B25" w:rsidRDefault="0080213C" w:rsidP="00274826">
      <w:pPr>
        <w:jc w:val="center"/>
      </w:pPr>
      <w:r>
        <w:t>Institution of Affiliation</w:t>
      </w:r>
    </w:p>
    <w:p w:rsidR="00274826" w:rsidRDefault="00274826" w:rsidP="00274826">
      <w:pPr>
        <w:jc w:val="center"/>
      </w:pPr>
      <w:r>
        <w:t xml:space="preserve">Instructor </w:t>
      </w:r>
    </w:p>
    <w:p w:rsidR="00833B25" w:rsidRDefault="0080213C" w:rsidP="00274826">
      <w:pPr>
        <w:jc w:val="center"/>
      </w:pPr>
      <w:r>
        <w:t>Date</w:t>
      </w:r>
    </w:p>
    <w:p w:rsidR="00833B25" w:rsidRDefault="00833B25" w:rsidP="00274826">
      <w:pPr>
        <w:jc w:val="center"/>
      </w:pPr>
    </w:p>
    <w:p w:rsidR="00833B25" w:rsidRDefault="00833B25" w:rsidP="00833B25">
      <w:pPr>
        <w:jc w:val="center"/>
      </w:pPr>
    </w:p>
    <w:p w:rsidR="00833B25" w:rsidRDefault="00833B25" w:rsidP="00833B25">
      <w:pPr>
        <w:jc w:val="center"/>
      </w:pPr>
    </w:p>
    <w:p w:rsidR="00833B25" w:rsidRDefault="00833B25" w:rsidP="00833B25">
      <w:pPr>
        <w:jc w:val="center"/>
      </w:pPr>
    </w:p>
    <w:p w:rsidR="00833B25" w:rsidRDefault="00833B25" w:rsidP="00833B25">
      <w:pPr>
        <w:jc w:val="center"/>
      </w:pPr>
    </w:p>
    <w:p w:rsidR="00833B25" w:rsidRDefault="00833B25" w:rsidP="00833B25">
      <w:pPr>
        <w:jc w:val="center"/>
      </w:pPr>
    </w:p>
    <w:p w:rsidR="00833B25" w:rsidRDefault="00833B25" w:rsidP="00833B25">
      <w:pPr>
        <w:jc w:val="center"/>
      </w:pPr>
    </w:p>
    <w:p w:rsidR="00833B25" w:rsidRDefault="00833B25" w:rsidP="00833B25">
      <w:pPr>
        <w:jc w:val="center"/>
      </w:pPr>
    </w:p>
    <w:p w:rsidR="00833B25" w:rsidRDefault="00833B25" w:rsidP="00833B25">
      <w:pPr>
        <w:jc w:val="center"/>
      </w:pPr>
    </w:p>
    <w:p w:rsidR="00833B25" w:rsidRDefault="00833B25" w:rsidP="00833B25">
      <w:pPr>
        <w:jc w:val="center"/>
      </w:pPr>
    </w:p>
    <w:p w:rsidR="00274826" w:rsidRDefault="00274826" w:rsidP="00833B25">
      <w:pPr>
        <w:jc w:val="center"/>
      </w:pPr>
    </w:p>
    <w:p w:rsidR="00556C38" w:rsidRDefault="00556C38" w:rsidP="00556C38"/>
    <w:p w:rsidR="00556C38" w:rsidRPr="00556C38" w:rsidRDefault="00556C38" w:rsidP="00556C38">
      <w:pPr>
        <w:jc w:val="center"/>
        <w:rPr>
          <w:b/>
        </w:rPr>
      </w:pPr>
      <w:r w:rsidRPr="00556C38">
        <w:rPr>
          <w:b/>
        </w:rPr>
        <w:lastRenderedPageBreak/>
        <w:t>Discussion on Tax Exemption</w:t>
      </w:r>
    </w:p>
    <w:p w:rsidR="00556C38" w:rsidRDefault="00556C38" w:rsidP="00556C38">
      <w:pPr>
        <w:ind w:firstLine="720"/>
      </w:pPr>
      <w:r>
        <w:t>Necessity is anyth</w:t>
      </w:r>
      <w:r w:rsidR="002979DA">
        <w:t>ing essential to a being for one’s</w:t>
      </w:r>
      <w:r>
        <w:t xml:space="preserve"> survival. It is something that someone cannot do without and is critical for the general living standards of a human being. (Banzhaf et al., 2019). The state of California proposed a law that would provide tax exemptions to some primary products that are considered essential. The law gives exemptions to some necessities such as diapers, menstrual products, food, and some other utilities. </w:t>
      </w:r>
    </w:p>
    <w:p w:rsidR="00556C38" w:rsidRDefault="00556C38" w:rsidP="00556C38">
      <w:pPr>
        <w:ind w:firstLine="720"/>
      </w:pPr>
      <w:r>
        <w:t>Exempting tax on diapers brings great relief to parents. It will especially bring relief to the parents who are on the lower scale of the income brackets. The income saved by those parents can be used to buy formula and essential food for the children</w:t>
      </w:r>
      <w:r w:rsidR="00FA028D">
        <w:t xml:space="preserve"> (Stratmann, 2017)</w:t>
      </w:r>
      <w:r>
        <w:t xml:space="preserve">. The overall effect of this move is healthy and whole children. The emotionally stable parent is in a better position to raise a baby who will be emotionally complete and, therefore, fit for the society. </w:t>
      </w:r>
    </w:p>
    <w:p w:rsidR="00556C38" w:rsidRDefault="00556C38" w:rsidP="00556C38">
      <w:pPr>
        <w:ind w:firstLine="720"/>
      </w:pPr>
      <w:r>
        <w:t>Tax exemption on menstruation products will help alleviate inequity. All women menstruate, and this is something that they have to live with. It is unfair and inequitable to charge women tax on necessities is essential for them. The tax exemption places women in an equitable position financially with their counterparts that do not need menstrual products. The tax exemption also helps to keep the girl child in school. This law has looked into areas of making provisions of the menstrual products to girls in high school</w:t>
      </w:r>
      <w:r w:rsidR="00FA028D">
        <w:t xml:space="preserve"> (</w:t>
      </w:r>
      <w:r w:rsidR="00FA028D" w:rsidRPr="00D209B8">
        <w:rPr>
          <w:color w:val="222222"/>
          <w:shd w:val="clear" w:color="auto" w:fill="FFFFFF"/>
        </w:rPr>
        <w:t>Kelchtermans</w:t>
      </w:r>
      <w:r w:rsidR="00FA028D">
        <w:rPr>
          <w:color w:val="222222"/>
          <w:shd w:val="clear" w:color="auto" w:fill="FFFFFF"/>
        </w:rPr>
        <w:t xml:space="preserve"> et al., 2020)</w:t>
      </w:r>
      <w:r>
        <w:t xml:space="preserve">. This provision will be especially necessary for girls who come from disadvantaged backgrounds. The girls will be able to stay in school all year and are better placed to compete fairly with the boys.  This will bring equity in schools for the students. </w:t>
      </w:r>
    </w:p>
    <w:p w:rsidR="00556C38" w:rsidRDefault="00556C38" w:rsidP="00556C38">
      <w:pPr>
        <w:ind w:firstLine="720"/>
      </w:pPr>
      <w:r>
        <w:t xml:space="preserve">California State has exempted tax to food items, medicines, and some utilities. It is general knowledge that no human being can survive without food. Food is a necessity for survival. Tax exemption on food allows most homes to be able to afford to put a meal on the table. This equitability is felt across all homes, especially the disadvantaged ones. The </w:t>
      </w:r>
      <w:r>
        <w:lastRenderedPageBreak/>
        <w:t>equitability has a ripple effect of reducing crime and immorality as most people engage in these vices because of hunger.</w:t>
      </w:r>
    </w:p>
    <w:p w:rsidR="00556C38" w:rsidRDefault="00556C38" w:rsidP="009047B4">
      <w:pPr>
        <w:ind w:firstLine="720"/>
      </w:pPr>
      <w:r>
        <w:t>Prescription medicines will also be exempted tax by the California state. Some ailments like Hypertension and cancer area among prescribed drugs that diagnosed patients require for their survival. Such patients need to be able to afford and access those medicines since it is critical to their health and survival. Other utilities like water, gas, and electricity are also exempted from tax. These essential utilities become affordable to users and bring equity</w:t>
      </w:r>
      <w:r w:rsidR="009047B4">
        <w:t xml:space="preserve"> (</w:t>
      </w:r>
      <w:r w:rsidR="009047B4" w:rsidRPr="00D209B8">
        <w:rPr>
          <w:color w:val="222222"/>
          <w:shd w:val="clear" w:color="auto" w:fill="FFFFFF"/>
        </w:rPr>
        <w:t>Kelchtermans</w:t>
      </w:r>
      <w:r w:rsidR="009047B4">
        <w:rPr>
          <w:color w:val="222222"/>
          <w:shd w:val="clear" w:color="auto" w:fill="FFFFFF"/>
        </w:rPr>
        <w:t xml:space="preserve"> et al., 2020)</w:t>
      </w:r>
      <w:r>
        <w:t>. The affordability of clean water will keep diseases as bay and improve the welfare of society.</w:t>
      </w:r>
      <w:r w:rsidR="009047B4">
        <w:t xml:space="preserve"> </w:t>
      </w:r>
      <w:r>
        <w:t>Basic toiletries such as wet wipes, soap, and toilet paper are also tax exempted tax. These necessities are critical for the day to day activities of a person. It makes a living more manageable and bearable.</w:t>
      </w:r>
    </w:p>
    <w:p w:rsidR="009D6455" w:rsidRDefault="00556C38" w:rsidP="00556C38">
      <w:pPr>
        <w:ind w:firstLine="720"/>
      </w:pPr>
      <w:r>
        <w:t>Goods that are critical in the prevention of death, treatment of injuries, or treatment of diseases are also exempted from tax. These are items such as bandages, helmets, car seats for children, and medications that are procured over the counter. Tax exemption causes service delivery to be efficient. It brings equity in society as everyone can afford the essential minimum required for daily survival (Stratmann,2017).</w:t>
      </w:r>
    </w:p>
    <w:p w:rsidR="009D6455" w:rsidRDefault="009D6455" w:rsidP="00833B25"/>
    <w:p w:rsidR="00E2122F" w:rsidRDefault="00E2122F" w:rsidP="00833B25"/>
    <w:p w:rsidR="00E2122F" w:rsidRDefault="00E2122F" w:rsidP="00833B25"/>
    <w:p w:rsidR="00123163" w:rsidRDefault="00123163" w:rsidP="00833B25"/>
    <w:p w:rsidR="00123163" w:rsidRDefault="00123163" w:rsidP="00833B25"/>
    <w:p w:rsidR="00123163" w:rsidRDefault="00123163" w:rsidP="00833B25"/>
    <w:p w:rsidR="00123163" w:rsidRDefault="00123163" w:rsidP="00833B25"/>
    <w:p w:rsidR="00E2122F" w:rsidRDefault="00E2122F" w:rsidP="00E2122F"/>
    <w:p w:rsidR="00556C38" w:rsidRDefault="00556C38" w:rsidP="00E2122F"/>
    <w:p w:rsidR="00E2122F" w:rsidRDefault="0080213C" w:rsidP="00123163">
      <w:pPr>
        <w:jc w:val="center"/>
        <w:rPr>
          <w:b/>
        </w:rPr>
      </w:pPr>
      <w:r w:rsidRPr="009D6455">
        <w:rPr>
          <w:b/>
        </w:rPr>
        <w:lastRenderedPageBreak/>
        <w:t>References</w:t>
      </w:r>
    </w:p>
    <w:p w:rsidR="00D209B8" w:rsidRPr="00D209B8" w:rsidRDefault="0080213C" w:rsidP="00123163">
      <w:pPr>
        <w:ind w:left="720" w:hanging="720"/>
        <w:rPr>
          <w:color w:val="222222"/>
          <w:shd w:val="clear" w:color="auto" w:fill="FFFFFF"/>
        </w:rPr>
      </w:pPr>
      <w:r w:rsidRPr="00D209B8">
        <w:rPr>
          <w:color w:val="222222"/>
          <w:shd w:val="clear" w:color="auto" w:fill="FFFFFF"/>
        </w:rPr>
        <w:t>Banzhaf, H. S., Mickey, R., &amp; Patrick, C. E. (2019). </w:t>
      </w:r>
      <w:r w:rsidRPr="00D209B8">
        <w:rPr>
          <w:i/>
          <w:iCs/>
          <w:color w:val="222222"/>
          <w:shd w:val="clear" w:color="auto" w:fill="FFFFFF"/>
        </w:rPr>
        <w:t>Age-Based Property Tax Exemptions</w:t>
      </w:r>
      <w:r w:rsidRPr="00D209B8">
        <w:rPr>
          <w:color w:val="222222"/>
          <w:shd w:val="clear" w:color="auto" w:fill="FFFFFF"/>
        </w:rPr>
        <w:t> (No. w25468). National Bureau of Economic Research.</w:t>
      </w:r>
    </w:p>
    <w:p w:rsidR="00D209B8" w:rsidRPr="00D209B8" w:rsidRDefault="0080213C" w:rsidP="00123163">
      <w:pPr>
        <w:ind w:left="720" w:hanging="720"/>
        <w:rPr>
          <w:color w:val="222222"/>
          <w:shd w:val="clear" w:color="auto" w:fill="FFFFFF"/>
        </w:rPr>
      </w:pPr>
      <w:r w:rsidRPr="00D209B8">
        <w:rPr>
          <w:color w:val="222222"/>
          <w:shd w:val="clear" w:color="auto" w:fill="FFFFFF"/>
        </w:rPr>
        <w:t>Kelchtermans, S., Neicu, D., &amp; Teirlinck, P. (2020). The role of peer effects in firms’ usage of R&amp;D tax exemptions. </w:t>
      </w:r>
      <w:r w:rsidRPr="00D209B8">
        <w:rPr>
          <w:i/>
          <w:iCs/>
          <w:color w:val="222222"/>
          <w:shd w:val="clear" w:color="auto" w:fill="FFFFFF"/>
        </w:rPr>
        <w:t>Journal of Business Research</w:t>
      </w:r>
      <w:r w:rsidRPr="00D209B8">
        <w:rPr>
          <w:color w:val="222222"/>
          <w:shd w:val="clear" w:color="auto" w:fill="FFFFFF"/>
        </w:rPr>
        <w:t>, </w:t>
      </w:r>
      <w:r w:rsidRPr="00D209B8">
        <w:rPr>
          <w:i/>
          <w:iCs/>
          <w:color w:val="222222"/>
          <w:shd w:val="clear" w:color="auto" w:fill="FFFFFF"/>
        </w:rPr>
        <w:t>108</w:t>
      </w:r>
      <w:r w:rsidRPr="00D209B8">
        <w:rPr>
          <w:color w:val="222222"/>
          <w:shd w:val="clear" w:color="auto" w:fill="FFFFFF"/>
        </w:rPr>
        <w:t>, 74-91.</w:t>
      </w:r>
    </w:p>
    <w:p w:rsidR="00D209B8" w:rsidRPr="00D209B8" w:rsidRDefault="0080213C" w:rsidP="00123163">
      <w:pPr>
        <w:ind w:left="720" w:hanging="720"/>
        <w:rPr>
          <w:b/>
        </w:rPr>
      </w:pPr>
      <w:r w:rsidRPr="00D209B8">
        <w:rPr>
          <w:color w:val="222222"/>
          <w:shd w:val="clear" w:color="auto" w:fill="FFFFFF"/>
        </w:rPr>
        <w:t>Stratmann, T. (2017). The political economy of sales taxes and sales tax exemptions. </w:t>
      </w:r>
      <w:r w:rsidRPr="00D209B8">
        <w:rPr>
          <w:i/>
          <w:iCs/>
          <w:color w:val="222222"/>
          <w:shd w:val="clear" w:color="auto" w:fill="FFFFFF"/>
        </w:rPr>
        <w:t>Public Choice</w:t>
      </w:r>
      <w:r w:rsidRPr="00D209B8">
        <w:rPr>
          <w:color w:val="222222"/>
          <w:shd w:val="clear" w:color="auto" w:fill="FFFFFF"/>
        </w:rPr>
        <w:t>, </w:t>
      </w:r>
      <w:r w:rsidRPr="00D209B8">
        <w:rPr>
          <w:i/>
          <w:iCs/>
          <w:color w:val="222222"/>
          <w:shd w:val="clear" w:color="auto" w:fill="FFFFFF"/>
        </w:rPr>
        <w:t>171</w:t>
      </w:r>
      <w:r w:rsidRPr="00D209B8">
        <w:rPr>
          <w:color w:val="222222"/>
          <w:shd w:val="clear" w:color="auto" w:fill="FFFFFF"/>
        </w:rPr>
        <w:t>(1-2), 207-221.</w:t>
      </w:r>
    </w:p>
    <w:sectPr w:rsidR="00D209B8" w:rsidRPr="00D209B8" w:rsidSect="00123163">
      <w:headerReference w:type="default" r:id="rId6"/>
      <w:headerReference w:type="firs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3B9F" w:rsidRDefault="00973B9F" w:rsidP="00535B8C">
      <w:pPr>
        <w:spacing w:line="240" w:lineRule="auto"/>
      </w:pPr>
      <w:r>
        <w:separator/>
      </w:r>
    </w:p>
  </w:endnote>
  <w:endnote w:type="continuationSeparator" w:id="1">
    <w:p w:rsidR="00973B9F" w:rsidRDefault="00973B9F" w:rsidP="00535B8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3B9F" w:rsidRDefault="00973B9F" w:rsidP="00535B8C">
      <w:pPr>
        <w:spacing w:line="240" w:lineRule="auto"/>
      </w:pPr>
      <w:r>
        <w:separator/>
      </w:r>
    </w:p>
  </w:footnote>
  <w:footnote w:type="continuationSeparator" w:id="1">
    <w:p w:rsidR="00973B9F" w:rsidRDefault="00973B9F" w:rsidP="00535B8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694655"/>
      <w:docPartObj>
        <w:docPartGallery w:val="Page Numbers (Top of Page)"/>
        <w:docPartUnique/>
      </w:docPartObj>
    </w:sdtPr>
    <w:sdtContent>
      <w:p w:rsidR="00123163" w:rsidRDefault="00123163">
        <w:pPr>
          <w:pStyle w:val="Header"/>
          <w:jc w:val="right"/>
        </w:pPr>
        <w:fldSimple w:instr=" PAGE   \* MERGEFORMAT ">
          <w:r w:rsidR="00FA028D">
            <w:rPr>
              <w:noProof/>
            </w:rPr>
            <w:t>2</w:t>
          </w:r>
        </w:fldSimple>
      </w:p>
    </w:sdtContent>
  </w:sdt>
  <w:p w:rsidR="00B66A33" w:rsidRDefault="00B66A3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653142"/>
      <w:docPartObj>
        <w:docPartGallery w:val="Page Numbers (Top of Page)"/>
        <w:docPartUnique/>
      </w:docPartObj>
    </w:sdtPr>
    <w:sdtContent>
      <w:p w:rsidR="00E2122F" w:rsidRDefault="00410281">
        <w:pPr>
          <w:pStyle w:val="Header"/>
          <w:jc w:val="right"/>
        </w:pPr>
        <w:fldSimple w:instr=" PAGE   \* MERGEFORMAT ">
          <w:r w:rsidR="00123163">
            <w:rPr>
              <w:noProof/>
            </w:rPr>
            <w:t>1</w:t>
          </w:r>
        </w:fldSimple>
      </w:p>
    </w:sdtContent>
  </w:sdt>
  <w:p w:rsidR="00B66A33" w:rsidRDefault="00B66A3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33B25"/>
    <w:rsid w:val="00123163"/>
    <w:rsid w:val="00135E21"/>
    <w:rsid w:val="001830AE"/>
    <w:rsid w:val="00274826"/>
    <w:rsid w:val="002979DA"/>
    <w:rsid w:val="003D1B95"/>
    <w:rsid w:val="00410281"/>
    <w:rsid w:val="004C17C8"/>
    <w:rsid w:val="005014CC"/>
    <w:rsid w:val="00531ADC"/>
    <w:rsid w:val="00535B8C"/>
    <w:rsid w:val="00556C38"/>
    <w:rsid w:val="00563AD3"/>
    <w:rsid w:val="005675BB"/>
    <w:rsid w:val="006823AC"/>
    <w:rsid w:val="00712802"/>
    <w:rsid w:val="0080213C"/>
    <w:rsid w:val="00833B25"/>
    <w:rsid w:val="00887317"/>
    <w:rsid w:val="008B6566"/>
    <w:rsid w:val="009047B4"/>
    <w:rsid w:val="00973B9F"/>
    <w:rsid w:val="009D6455"/>
    <w:rsid w:val="00A23F2B"/>
    <w:rsid w:val="00A562C2"/>
    <w:rsid w:val="00A81A84"/>
    <w:rsid w:val="00AE324D"/>
    <w:rsid w:val="00B64EAF"/>
    <w:rsid w:val="00B66A33"/>
    <w:rsid w:val="00BE6F5D"/>
    <w:rsid w:val="00C50EA5"/>
    <w:rsid w:val="00D209B8"/>
    <w:rsid w:val="00E2122F"/>
    <w:rsid w:val="00EC5281"/>
    <w:rsid w:val="00F17237"/>
    <w:rsid w:val="00F37834"/>
    <w:rsid w:val="00FA02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B25"/>
    <w:pPr>
      <w:tabs>
        <w:tab w:val="center" w:pos="4513"/>
        <w:tab w:val="right" w:pos="9026"/>
      </w:tabs>
      <w:spacing w:line="240" w:lineRule="auto"/>
    </w:pPr>
  </w:style>
  <w:style w:type="character" w:customStyle="1" w:styleId="HeaderChar">
    <w:name w:val="Header Char"/>
    <w:basedOn w:val="DefaultParagraphFont"/>
    <w:link w:val="Header"/>
    <w:uiPriority w:val="99"/>
    <w:rsid w:val="00833B25"/>
  </w:style>
  <w:style w:type="paragraph" w:styleId="Footer">
    <w:name w:val="footer"/>
    <w:basedOn w:val="Normal"/>
    <w:link w:val="FooterChar"/>
    <w:uiPriority w:val="99"/>
    <w:semiHidden/>
    <w:unhideWhenUsed/>
    <w:rsid w:val="00833B25"/>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833B2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594</Words>
  <Characters>3387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8</cp:revision>
  <dcterms:created xsi:type="dcterms:W3CDTF">2020-04-08T19:54:00Z</dcterms:created>
  <dcterms:modified xsi:type="dcterms:W3CDTF">2020-04-08T21:48:00Z</dcterms:modified>
</cp:coreProperties>
</file>